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Auftragsverarbeitungsvertrag – Teacher's Desk</w:t>
      </w:r>
    </w:p>
    <w:p>
      <w:r>
        <w:rPr>
          <w:b w:val="0"/>
        </w:rPr>
        <w:t>Muster für einen Auftragsverarbeitungsvertrag nach Art. 28 DSGVO zwischen einer Schule und der Mindoo GmbH für die Nutzung von Teacher's Desk über MindooDB Cloud. Felder in [eckigen Klammern] füllt die Schule aus. Stand: Oktober 2026.</w:t>
      </w:r>
    </w:p>
    <w:p>
      <w:pPr>
        <w:pStyle w:val="Heading1"/>
      </w:pPr>
      <w:r>
        <w:t>Vertragsparteien</w:t>
      </w:r>
    </w:p>
    <w:p>
      <w:r>
        <w:rPr>
          <w:b/>
        </w:rPr>
        <w:t>Verantwortlicher (Auftraggeber):</w:t>
      </w:r>
      <w:r>
        <w:rPr>
          <w:b w:val="0"/>
        </w:rPr>
        <w:t xml:space="preserve"> [Name der Schule], [Anschrift], vertreten durch [Schulleitung]</w:t>
      </w:r>
    </w:p>
    <w:p>
      <w:r>
        <w:rPr>
          <w:b/>
        </w:rPr>
        <w:t>Auftragsverarbeiter (Auftragnehmer):</w:t>
      </w:r>
      <w:r>
        <w:rPr>
          <w:b w:val="0"/>
        </w:rPr>
        <w:t xml:space="preserve"> Mindoo GmbH, Karpfenweg 12, 76189 Karlsruhe, Deutschland, vertreten durch die Geschäftsführer Karsten Lehmann und Tammo Riedinger. Ansprechpartner für Datenschutz: Karsten Lehmann, info@mindoo.de</w:t>
      </w:r>
    </w:p>
    <w:p>
      <w:pPr>
        <w:pStyle w:val="Heading1"/>
      </w:pPr>
      <w:r>
        <w:t>Präambel</w:t>
      </w:r>
    </w:p>
    <w:p>
      <w:r>
        <w:rPr>
          <w:b w:val="0"/>
        </w:rPr>
        <w:t>Lehrkräfte der Schule nutzen Teacher's Desk, um ihren Unterricht zu planen und Daten von Lernenden zu führen. Die Daten werden auf den Endgeräten Ende-zu-Ende-verschlüsselt und über MindooDB Cloud zwischen den Geräten synchronisiert. Der Auftragnehmer speichert dabei ausschließlich verschlüsselte Daten und besitzt keine Schlüssel, um sie zu entschlüsseln. Dieser Vertrag regelt die Pflichten beider Parteien nach Art. 28 DSGVO.</w:t>
      </w:r>
    </w:p>
    <w:p>
      <w:pPr>
        <w:pStyle w:val="Heading1"/>
      </w:pPr>
      <w:r>
        <w:t>§ 1 Gegenstand, Dauer, Art und Zweck</w:t>
      </w:r>
    </w:p>
    <w:p>
      <w:pPr>
        <w:pStyle w:val="ListNumber"/>
      </w:pPr>
      <w:r>
        <w:rPr>
          <w:b/>
        </w:rPr>
        <w:t>Gegenstand:</w:t>
      </w:r>
      <w:r>
        <w:rPr>
          <w:b w:val="0"/>
        </w:rPr>
        <w:t xml:space="preserve"> Bereitstellung der Synchronisation und Speicherung verschlüsselter Daten für Teacher's Desk über MindooDB Cloud sowie der zugehörigen Benutzerverwaltung.</w:t>
      </w:r>
    </w:p>
    <w:p>
      <w:pPr>
        <w:pStyle w:val="ListNumber"/>
      </w:pPr>
      <w:r>
        <w:rPr>
          <w:b/>
        </w:rPr>
        <w:t>Dauer:</w:t>
      </w:r>
      <w:r>
        <w:rPr>
          <w:b w:val="0"/>
        </w:rPr>
        <w:t xml:space="preserve"> Der Vertrag gilt, solange Lehrkräfte der Schule MindooDB Cloud nutzen. Er endet mit dem letzten Nutzungsvertrag, ohne dass es einer Kündigung bedarf.</w:t>
      </w:r>
    </w:p>
    <w:p>
      <w:pPr>
        <w:pStyle w:val="ListNumber"/>
      </w:pPr>
      <w:r>
        <w:rPr>
          <w:b/>
        </w:rPr>
        <w:t>Art der Verarbeitung:</w:t>
      </w:r>
      <w:r>
        <w:rPr>
          <w:b w:val="0"/>
        </w:rPr>
        <w:t xml:space="preserve"> Speichern, Übertragen und Löschen verschlüsselter Datensätze. Eine inhaltliche Auswertung findet nicht statt und ist technisch nicht möglich.</w:t>
      </w:r>
    </w:p>
    <w:p>
      <w:pPr>
        <w:pStyle w:val="ListNumber"/>
      </w:pPr>
      <w:r>
        <w:rPr>
          <w:b/>
        </w:rPr>
        <w:t>Zweck:</w:t>
      </w:r>
      <w:r>
        <w:rPr>
          <w:b w:val="0"/>
        </w:rPr>
        <w:t xml:space="preserve"> Abgleich der Daten zwischen den Geräten einer Lehrkraft und, falls genutzt, mit berechtigten Kolleginnen und Kollegen.</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r>
              <w:rPr>
                <w:b/>
              </w:rPr>
              <w:t>Kategorie</w:t>
            </w:r>
          </w:p>
        </w:tc>
        <w:tc>
          <w:tcPr>
            <w:tcW w:type="dxa" w:w="3324"/>
          </w:tcPr>
          <w:p>
            <w:r>
              <w:rPr>
                <w:b/>
              </w:rPr>
            </w:r>
            <w:r>
              <w:rPr>
                <w:b/>
              </w:rPr>
              <w:t>Betroffene</w:t>
            </w:r>
          </w:p>
        </w:tc>
        <w:tc>
          <w:tcPr>
            <w:tcW w:type="dxa" w:w="3324"/>
          </w:tcPr>
          <w:p>
            <w:r>
              <w:rPr>
                <w:b/>
              </w:rPr>
            </w:r>
            <w:r>
              <w:rPr>
                <w:b/>
              </w:rPr>
              <w:t>Datenarten</w:t>
            </w:r>
          </w:p>
        </w:tc>
      </w:tr>
      <w:tr>
        <w:tc>
          <w:tcPr>
            <w:tcW w:type="dxa" w:w="3324"/>
          </w:tcPr>
          <w:p>
            <w:r/>
            <w:r>
              <w:rPr>
                <w:b w:val="0"/>
              </w:rPr>
              <w:t>Inhaltsdaten (verschlüsselt)</w:t>
            </w:r>
          </w:p>
        </w:tc>
        <w:tc>
          <w:tcPr>
            <w:tcW w:type="dxa" w:w="3324"/>
          </w:tcPr>
          <w:p>
            <w:r/>
            <w:r>
              <w:rPr>
                <w:b w:val="0"/>
              </w:rPr>
              <w:t>Lernende, Erziehungsberechtigte</w:t>
            </w:r>
          </w:p>
        </w:tc>
        <w:tc>
          <w:tcPr>
            <w:tcW w:type="dxa" w:w="3324"/>
          </w:tcPr>
          <w:p>
            <w:r/>
            <w:r>
              <w:rPr>
                <w:b w:val="0"/>
              </w:rPr>
              <w:t>Namen, Kontaktdaten, Noten, Beobachtungen, Anwesenheit, Sitzpläne, Gesprächsprotokolle, Anhänge</w:t>
            </w:r>
          </w:p>
        </w:tc>
      </w:tr>
      <w:tr>
        <w:tc>
          <w:tcPr>
            <w:tcW w:type="dxa" w:w="3324"/>
          </w:tcPr>
          <w:p>
            <w:r/>
            <w:r>
              <w:rPr>
                <w:b w:val="0"/>
              </w:rPr>
              <w:t>Inhaltsdaten (verschlüsselt)</w:t>
            </w:r>
          </w:p>
        </w:tc>
        <w:tc>
          <w:tcPr>
            <w:tcW w:type="dxa" w:w="3324"/>
          </w:tcPr>
          <w:p>
            <w:r/>
            <w:r>
              <w:rPr>
                <w:b w:val="0"/>
              </w:rPr>
              <w:t>Lehrkräfte, Kollegium</w:t>
            </w:r>
          </w:p>
        </w:tc>
        <w:tc>
          <w:tcPr>
            <w:tcW w:type="dxa" w:w="3324"/>
          </w:tcPr>
          <w:p>
            <w:r/>
            <w:r>
              <w:rPr>
                <w:b w:val="0"/>
              </w:rPr>
              <w:t>Namen, Fächer, Stundenplan, Termine, Notizen</w:t>
            </w:r>
          </w:p>
        </w:tc>
      </w:tr>
      <w:tr>
        <w:tc>
          <w:tcPr>
            <w:tcW w:type="dxa" w:w="3324"/>
          </w:tcPr>
          <w:p>
            <w:r/>
            <w:r>
              <w:rPr>
                <w:b w:val="0"/>
              </w:rPr>
              <w:t>Konto- und Verbindungsdaten</w:t>
            </w:r>
          </w:p>
        </w:tc>
        <w:tc>
          <w:tcPr>
            <w:tcW w:type="dxa" w:w="3324"/>
          </w:tcPr>
          <w:p>
            <w:r/>
            <w:r>
              <w:rPr>
                <w:b w:val="0"/>
              </w:rPr>
              <w:t>Lehrkräfte</w:t>
            </w:r>
          </w:p>
        </w:tc>
        <w:tc>
          <w:tcPr>
            <w:tcW w:type="dxa" w:w="3324"/>
          </w:tcPr>
          <w:p>
            <w:r/>
            <w:r>
              <w:rPr>
                <w:b w:val="0"/>
              </w:rPr>
              <w:t>Benutzername, öffentliche Schlüssel, IP-Adressen, Zeitpunkte der Synchronisation, Abrechnungsdaten</w:t>
            </w:r>
          </w:p>
        </w:tc>
      </w:tr>
    </w:tbl>
    <w:p>
      <w:r>
        <w:rPr>
          <w:b w:val="0"/>
        </w:rPr>
        <w:t>Die Inhaltsdaten können besondere Kategorien nach Art. 9 DSGVO enthalten, etwa Hinweise auf Förderbedarf oder Gesundheit. Sie liegen beim Auftragnehmer nur verschlüsselt vor.</w:t>
      </w:r>
    </w:p>
    <w:p>
      <w:pPr>
        <w:pStyle w:val="Heading1"/>
      </w:pPr>
      <w:r>
        <w:t>§ 2 Weisungsgebundenheit</w:t>
      </w:r>
    </w:p>
    <w:p>
      <w:r>
        <w:rPr>
          <w:b w:val="0"/>
        </w:rPr>
        <w:t>Der Auftragnehmer verarbeitet die Daten nur auf dokumentierte Weisung der Schule. Die Weisungen ergeben sich aus diesem Vertrag und der Bedienung der App durch die Lehrkräfte. Hält der Auftragnehmer eine Weisung für rechtswidrig, informiert er die Schule unverzüglich.</w:t>
      </w:r>
    </w:p>
    <w:p>
      <w:pPr>
        <w:pStyle w:val="Heading1"/>
      </w:pPr>
      <w:r>
        <w:t>§ 3 Vertraulichkeit</w:t>
      </w:r>
    </w:p>
    <w:p>
      <w:r>
        <w:rPr>
          <w:b w:val="0"/>
        </w:rPr>
        <w:t>Alle Personen, die beim Auftragnehmer Zugang zu den Systemen haben, sind schriftlich auf Vertraulichkeit verpflichtet. Diese Pflicht besteht nach Ende ihrer Tätigkeit fort.</w:t>
      </w:r>
    </w:p>
    <w:p>
      <w:pPr>
        <w:pStyle w:val="Heading1"/>
      </w:pPr>
      <w:r>
        <w:t>§ 4 Technische und organisatorische Maßnahmen</w:t>
      </w:r>
    </w:p>
    <w:p>
      <w:r>
        <w:rPr>
          <w:b w:val="0"/>
        </w:rPr>
        <w:t>Der Auftragnehmer trifft die Maßnahmen nach Art. 32 DSGVO, die in Anlage 1 beschrieben sind. Er darf sie weiterentwickeln, solange das Schutzniveau nicht sinkt.</w:t>
      </w:r>
    </w:p>
    <w:p>
      <w:pPr>
        <w:pStyle w:val="Heading1"/>
      </w:pPr>
      <w:r>
        <w:t>§ 5 Unterauftragsverarbeiter</w:t>
      </w:r>
    </w:p>
    <w:p>
      <w:r>
        <w:rPr>
          <w:b w:val="0"/>
        </w:rPr>
        <w:t>Die Schule genehmigt die in Anlage 2 genannten Unterauftragsverarbeiter. Über neue oder ersetzte Unterauftragsverarbeiter informiert der Auftragnehmer mindestens 30 Tage vorher; die Schule kann aus wichtigem Grund widersprechen. Der Auftragnehmer verpflichtet jeden Unterauftragsverarbeiter vertraglich auf dasselbe Schutzniveau. Inhalte werden ausschließlich in Deutschland gespeichert. Der vorgeschaltete Netzwerk-Proxy von Cloudflare kann Verbindungsdaten auch außerhalb der EU verarbeiten; dies ist durch das EU-US Data Privacy Framework und EU-Standardvertragsklauseln abgesichert.</w:t>
      </w:r>
    </w:p>
    <w:p>
      <w:pPr>
        <w:pStyle w:val="Heading1"/>
      </w:pPr>
      <w:r>
        <w:t>§ 6 Unterstützung bei Betroffenenrechten</w:t>
      </w:r>
    </w:p>
    <w:p>
      <w:r>
        <w:rPr>
          <w:b w:val="0"/>
        </w:rPr>
        <w:t>Die Lehrkräfte können Auskünfte, Berichtigungen, Löschungen und Exporte (Daten-Checkout) direkt in der App vornehmen. Wendet sich eine betroffene Person an den Auftragnehmer, leitet er die Anfrage unverzüglich an die Schule weiter. Da der Auftragnehmer die Inhalte nicht entschlüsseln kann, beschränkt sich seine Unterstützung auf Konto- und Verbindungsdaten.</w:t>
      </w:r>
    </w:p>
    <w:p>
      <w:pPr>
        <w:pStyle w:val="Heading1"/>
      </w:pPr>
      <w:r>
        <w:t>§ 7 Meldung von Datenschutzverletzungen</w:t>
      </w:r>
    </w:p>
    <w:p>
      <w:r>
        <w:rPr>
          <w:b w:val="0"/>
        </w:rPr>
        <w:t>Der Auftragnehmer meldet der Schule Verletzungen des Schutzes der Daten unverzüglich, spätestens innerhalb von 24 Stunden nach Kenntnis. Die Meldung enthält die Angaben nach Art. 33 Abs. 3 DSGVO, soweit sie vorliegen. So kann die Schule ihre eigene Meldefrist von 72 Stunden einhalten.</w:t>
      </w:r>
    </w:p>
    <w:p>
      <w:pPr>
        <w:pStyle w:val="Heading1"/>
      </w:pPr>
      <w:r>
        <w:t>§ 8 Löschung nach Vertragsende</w:t>
      </w:r>
    </w:p>
    <w:p>
      <w:r>
        <w:rPr>
          <w:b w:val="0"/>
        </w:rPr>
        <w:t>Nach Vertragsende löscht der Auftragnehmer die gespeicherten Daten innerhalb von 30 Tagen, sofern keine gesetzliche Aufbewahrungspflicht besteht. Vorher können die Lehrkräfte alle Inhalte über den Daten-Checkout exportieren. Datensicherungen werden nach spätestens 30 Tagen überschrieben.</w:t>
      </w:r>
    </w:p>
    <w:p>
      <w:pPr>
        <w:pStyle w:val="Heading1"/>
      </w:pPr>
      <w:r>
        <w:t>§ 9 Nachweise und Kontrollen</w:t>
      </w:r>
    </w:p>
    <w:p>
      <w:r>
        <w:rPr>
          <w:b w:val="0"/>
        </w:rPr>
        <w:t>Der Auftragnehmer stellt der Schule auf Anfrage die Informationen zur Verfügung, die zum Nachweis dieser Pflichten nötig sind. Kontrollen vor Ort sind nach Absprache mit angemessener Vorlaufzeit möglich.</w:t>
      </w:r>
    </w:p>
    <w:p>
      <w:pPr>
        <w:pStyle w:val="Heading1"/>
      </w:pPr>
      <w:r>
        <w:t>§ 10 Haftung und Schlussbestimmungen</w:t>
      </w:r>
    </w:p>
    <w:p>
      <w:r>
        <w:rPr>
          <w:b w:val="0"/>
        </w:rPr>
        <w:t>Die Haftung richtet sich nach Art. 82 DSGVO. Änderungen bedürfen der Textform. Ist eine Bestimmung unwirksam, bleibt der Vertrag im Übrigen wirksam. Gerichtsstand ist Karlsruhe.</w:t>
      </w:r>
    </w:p>
    <w:tbl>
      <w:tblPr>
        <w:tblStyle w:val="TableGrid"/>
        <w:tblW w:type="auto" w:w="0"/>
        <w:tblLook w:firstColumn="1" w:firstRow="1" w:lastColumn="0" w:lastRow="0" w:noHBand="0" w:noVBand="1" w:val="04A0"/>
      </w:tblPr>
      <w:tblGrid>
        <w:gridCol w:w="4986"/>
        <w:gridCol w:w="4986"/>
      </w:tblGrid>
      <w:tr>
        <w:tc>
          <w:tcPr>
            <w:tcW w:type="dxa" w:w="4986"/>
          </w:tcPr>
          <w:p>
            <w:r>
              <w:rPr>
                <w:b/>
              </w:rPr>
            </w:r>
            <w:r>
              <w:rPr>
                <w:b/>
              </w:rPr>
              <w:t>Für die Schule</w:t>
            </w:r>
          </w:p>
        </w:tc>
        <w:tc>
          <w:tcPr>
            <w:tcW w:type="dxa" w:w="4986"/>
          </w:tcPr>
          <w:p>
            <w:r>
              <w:rPr>
                <w:b/>
              </w:rPr>
            </w:r>
            <w:r>
              <w:rPr>
                <w:b/>
              </w:rPr>
              <w:t>Für die Mindoo GmbH</w:t>
            </w:r>
          </w:p>
        </w:tc>
      </w:tr>
      <w:tr>
        <w:tc>
          <w:tcPr>
            <w:tcW w:type="dxa" w:w="4986"/>
          </w:tcPr>
          <w:p>
            <w:r/>
            <w:r>
              <w:rPr>
                <w:b w:val="0"/>
              </w:rPr>
              <w:t>Ort, Datum:</w:t>
            </w:r>
          </w:p>
        </w:tc>
        <w:tc>
          <w:tcPr>
            <w:tcW w:type="dxa" w:w="4986"/>
          </w:tcPr>
          <w:p>
            <w:r/>
            <w:r>
              <w:rPr>
                <w:b w:val="0"/>
              </w:rPr>
              <w:t>Ort, Datum:</w:t>
            </w:r>
          </w:p>
        </w:tc>
      </w:tr>
      <w:tr>
        <w:tc>
          <w:tcPr>
            <w:tcW w:type="dxa" w:w="4986"/>
          </w:tcPr>
          <w:p>
            <w:r/>
            <w:r>
              <w:rPr>
                <w:b w:val="0"/>
              </w:rPr>
              <w:t>Unterschrift:</w:t>
            </w:r>
          </w:p>
        </w:tc>
        <w:tc>
          <w:tcPr>
            <w:tcW w:type="dxa" w:w="4986"/>
          </w:tcPr>
          <w:p>
            <w:r/>
            <w:r>
              <w:rPr>
                <w:b w:val="0"/>
              </w:rPr>
              <w:t>Unterschrift:</w:t>
            </w:r>
          </w:p>
        </w:tc>
      </w:tr>
    </w:tbl>
    <w:p>
      <w:pPr>
        <w:pStyle w:val="Heading1"/>
      </w:pPr>
      <w:r>
        <w:t>Anlage 1: Technische und organisatorische Maßnahmen</w:t>
      </w:r>
    </w:p>
    <w:p>
      <w:r>
        <w:rPr>
          <w:b w:val="0"/>
        </w:rPr>
        <w:t>Die wichtigste Maßnahme ist die Ende-zu-Ende-Verschlüsselung: Inhalte verlassen das Gerät der Lehrkraft nur verschlüsselt, und der Auftragnehmer besitzt keine Schlüssel.</w:t>
      </w:r>
    </w:p>
    <w:tbl>
      <w:tblPr>
        <w:tblStyle w:val="TableGrid"/>
        <w:tblW w:type="auto" w:w="0"/>
        <w:tblLook w:firstColumn="1" w:firstRow="1" w:lastColumn="0" w:lastRow="0" w:noHBand="0" w:noVBand="1" w:val="04A0"/>
      </w:tblPr>
      <w:tblGrid>
        <w:gridCol w:w="4986"/>
        <w:gridCol w:w="4986"/>
      </w:tblGrid>
      <w:tr>
        <w:tc>
          <w:tcPr>
            <w:tcW w:type="dxa" w:w="4986"/>
          </w:tcPr>
          <w:p>
            <w:r>
              <w:rPr>
                <w:b/>
              </w:rPr>
            </w:r>
            <w:r>
              <w:rPr>
                <w:b/>
              </w:rPr>
              <w:t>Schutzziel</w:t>
            </w:r>
          </w:p>
        </w:tc>
        <w:tc>
          <w:tcPr>
            <w:tcW w:type="dxa" w:w="4986"/>
          </w:tcPr>
          <w:p>
            <w:r>
              <w:rPr>
                <w:b/>
              </w:rPr>
            </w:r>
            <w:r>
              <w:rPr>
                <w:b/>
              </w:rPr>
              <w:t>Maßnahme</w:t>
            </w:r>
          </w:p>
        </w:tc>
      </w:tr>
      <w:tr>
        <w:tc>
          <w:tcPr>
            <w:tcW w:type="dxa" w:w="4986"/>
          </w:tcPr>
          <w:p>
            <w:r/>
            <w:r>
              <w:rPr>
                <w:b w:val="0"/>
              </w:rPr>
              <w:t>Vertraulichkeit der Inhalte</w:t>
            </w:r>
          </w:p>
        </w:tc>
        <w:tc>
          <w:tcPr>
            <w:tcW w:type="dxa" w:w="4986"/>
          </w:tcPr>
          <w:p>
            <w:r/>
            <w:r>
              <w:rPr>
                <w:b w:val="0"/>
              </w:rPr>
              <w:t>Verschlüsselung auf dem Endgerät mit AES-256-GCM; Schlüssel nur auf den berechtigten Geräten; Server speichern ausschließlich verschlüsselte Daten</w:t>
            </w:r>
          </w:p>
        </w:tc>
      </w:tr>
      <w:tr>
        <w:tc>
          <w:tcPr>
            <w:tcW w:type="dxa" w:w="4986"/>
          </w:tcPr>
          <w:p>
            <w:r/>
            <w:r>
              <w:rPr>
                <w:b w:val="0"/>
              </w:rPr>
              <w:t>Zugang zur App</w:t>
            </w:r>
          </w:p>
        </w:tc>
        <w:tc>
          <w:tcPr>
            <w:tcW w:type="dxa" w:w="4986"/>
          </w:tcPr>
          <w:p>
            <w:r/>
            <w:r>
              <w:rPr>
                <w:b w:val="0"/>
              </w:rPr>
              <w:t>Entsperren der Identität per Passkey (Face ID, Touch ID, Hardware-Key) oder Passwort, geprüft auf dem Gerät</w:t>
            </w:r>
          </w:p>
        </w:tc>
      </w:tr>
      <w:tr>
        <w:tc>
          <w:tcPr>
            <w:tcW w:type="dxa" w:w="4986"/>
          </w:tcPr>
          <w:p>
            <w:r/>
            <w:r>
              <w:rPr>
                <w:b w:val="0"/>
              </w:rPr>
              <w:t>Transport</w:t>
            </w:r>
          </w:p>
        </w:tc>
        <w:tc>
          <w:tcPr>
            <w:tcW w:type="dxa" w:w="4986"/>
          </w:tcPr>
          <w:p>
            <w:r/>
            <w:r>
              <w:rPr>
                <w:b w:val="0"/>
              </w:rPr>
              <w:t>Verschlüsselte Übertragung per TLS 1.2 oder höher über den Cloudflare-Proxy zusätzlich zur Inhaltsverschlüsselung; Cloudflare sieht dabei nur verschlüsselte Inhalte und Verbindungsdaten</w:t>
            </w:r>
          </w:p>
        </w:tc>
      </w:tr>
      <w:tr>
        <w:tc>
          <w:tcPr>
            <w:tcW w:type="dxa" w:w="4986"/>
          </w:tcPr>
          <w:p>
            <w:r/>
            <w:r>
              <w:rPr>
                <w:b w:val="0"/>
              </w:rPr>
              <w:t>Zutritt zu Rechenzentren</w:t>
            </w:r>
          </w:p>
        </w:tc>
        <w:tc>
          <w:tcPr>
            <w:tcW w:type="dxa" w:w="4986"/>
          </w:tcPr>
          <w:p>
            <w:r/>
            <w:r>
              <w:rPr>
                <w:b w:val="0"/>
              </w:rPr>
              <w:t>Rechenzentren der Hetzner Online GmbH in Falkenstein und Nürnberg mit Zutrittskontrolle, Videoüberwachung und Zertifizierung nach ISO/IEC 27001:2022</w:t>
            </w:r>
          </w:p>
        </w:tc>
      </w:tr>
      <w:tr>
        <w:tc>
          <w:tcPr>
            <w:tcW w:type="dxa" w:w="4986"/>
          </w:tcPr>
          <w:p>
            <w:r/>
            <w:r>
              <w:rPr>
                <w:b w:val="0"/>
              </w:rPr>
              <w:t>Zugriff auf Server</w:t>
            </w:r>
          </w:p>
        </w:tc>
        <w:tc>
          <w:tcPr>
            <w:tcW w:type="dxa" w:w="4986"/>
          </w:tcPr>
          <w:p>
            <w:r/>
            <w:r>
              <w:rPr>
                <w:b w:val="0"/>
              </w:rPr>
              <w:t>Administration der Server durch die Cygnus Networks GmbH im Auftrag des Auftragnehmers; Zugang nur für 2 benannte Personen, per SSH-Schlüssel, mit Protokollierung. Auch Administratoren sehen nur verschlüsselte Inhalte</w:t>
            </w:r>
          </w:p>
        </w:tc>
      </w:tr>
      <w:tr>
        <w:tc>
          <w:tcPr>
            <w:tcW w:type="dxa" w:w="4986"/>
          </w:tcPr>
          <w:p>
            <w:r/>
            <w:r>
              <w:rPr>
                <w:b w:val="0"/>
              </w:rPr>
              <w:t>Trennung</w:t>
            </w:r>
          </w:p>
        </w:tc>
        <w:tc>
          <w:tcPr>
            <w:tcW w:type="dxa" w:w="4986"/>
          </w:tcPr>
          <w:p>
            <w:r/>
            <w:r>
              <w:rPr>
                <w:b w:val="0"/>
              </w:rPr>
              <w:t>Getrennte Datenbanken je Tenant und Fachbereich; Rechte pro Datenbank in der App einsehbar</w:t>
            </w:r>
          </w:p>
        </w:tc>
      </w:tr>
      <w:tr>
        <w:tc>
          <w:tcPr>
            <w:tcW w:type="dxa" w:w="4986"/>
          </w:tcPr>
          <w:p>
            <w:r/>
            <w:r>
              <w:rPr>
                <w:b w:val="0"/>
              </w:rPr>
              <w:t>Integrität und Versionen</w:t>
            </w:r>
          </w:p>
        </w:tc>
        <w:tc>
          <w:tcPr>
            <w:tcW w:type="dxa" w:w="4986"/>
          </w:tcPr>
          <w:p>
            <w:r/>
            <w:r>
              <w:rPr>
                <w:b w:val="0"/>
              </w:rPr>
              <w:t>Fortschreibende Speicherung (append-only): frühere Versionen bleiben erhalten, Änderungen sind mit Ed25519 signiert</w:t>
            </w:r>
          </w:p>
        </w:tc>
      </w:tr>
      <w:tr>
        <w:tc>
          <w:tcPr>
            <w:tcW w:type="dxa" w:w="4986"/>
          </w:tcPr>
          <w:p>
            <w:r/>
            <w:r>
              <w:rPr>
                <w:b w:val="0"/>
              </w:rPr>
              <w:t>Verfügbarkeit</w:t>
            </w:r>
          </w:p>
        </w:tc>
        <w:tc>
          <w:tcPr>
            <w:tcW w:type="dxa" w:w="4986"/>
          </w:tcPr>
          <w:p>
            <w:r/>
            <w:r>
              <w:rPr>
                <w:b w:val="0"/>
              </w:rPr>
              <w:t>Lokale Kopie auf jedem Gerät, Offline-Betrieb; regelmäßige verschlüsselte Backups der Server in Deutschland, Aufbewahrung rollierend 30 Tage</w:t>
            </w:r>
          </w:p>
        </w:tc>
      </w:tr>
      <w:tr>
        <w:tc>
          <w:tcPr>
            <w:tcW w:type="dxa" w:w="4986"/>
          </w:tcPr>
          <w:p>
            <w:r/>
            <w:r>
              <w:rPr>
                <w:b w:val="0"/>
              </w:rPr>
              <w:t>Wiederherstellung</w:t>
            </w:r>
          </w:p>
        </w:tc>
        <w:tc>
          <w:tcPr>
            <w:tcW w:type="dxa" w:w="4986"/>
          </w:tcPr>
          <w:p>
            <w:r/>
            <w:r>
              <w:rPr>
                <w:b w:val="0"/>
              </w:rPr>
              <w:t>Backup und Restore in MindooDB Haven; Wiederherstellung früherer Versionen</w:t>
            </w:r>
          </w:p>
        </w:tc>
      </w:tr>
      <w:tr>
        <w:tc>
          <w:tcPr>
            <w:tcW w:type="dxa" w:w="4986"/>
          </w:tcPr>
          <w:p>
            <w:r/>
            <w:r>
              <w:rPr>
                <w:b w:val="0"/>
              </w:rPr>
              <w:t>Organisation</w:t>
            </w:r>
          </w:p>
        </w:tc>
        <w:tc>
          <w:tcPr>
            <w:tcW w:type="dxa" w:w="4986"/>
          </w:tcPr>
          <w:p>
            <w:r/>
            <w:r>
              <w:rPr>
                <w:b w:val="0"/>
              </w:rPr>
              <w:t>Verpflichtung auf Vertraulichkeit; Ansprechpartner für Datenschutz: Karsten Lehmann; Überprüfung der Maßnahmen jährlich</w:t>
            </w:r>
          </w:p>
        </w:tc>
      </w:tr>
    </w:tbl>
    <w:p>
      <w:pPr>
        <w:pStyle w:val="Heading1"/>
      </w:pPr>
      <w:r>
        <w:t>Anlage 2: Unterauftragsverarbeiter</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r>
              <w:rPr>
                <w:b/>
              </w:rPr>
              <w:t>Unternehmen</w:t>
            </w:r>
          </w:p>
        </w:tc>
        <w:tc>
          <w:tcPr>
            <w:tcW w:type="dxa" w:w="2493"/>
          </w:tcPr>
          <w:p>
            <w:r>
              <w:rPr>
                <w:b/>
              </w:rPr>
            </w:r>
            <w:r>
              <w:rPr>
                <w:b/>
              </w:rPr>
              <w:t>Anschrift</w:t>
            </w:r>
          </w:p>
        </w:tc>
        <w:tc>
          <w:tcPr>
            <w:tcW w:type="dxa" w:w="2493"/>
          </w:tcPr>
          <w:p>
            <w:r>
              <w:rPr>
                <w:b/>
              </w:rPr>
            </w:r>
            <w:r>
              <w:rPr>
                <w:b/>
              </w:rPr>
              <w:t>Leistung</w:t>
            </w:r>
          </w:p>
        </w:tc>
        <w:tc>
          <w:tcPr>
            <w:tcW w:type="dxa" w:w="2493"/>
          </w:tcPr>
          <w:p>
            <w:r>
              <w:rPr>
                <w:b/>
              </w:rPr>
            </w:r>
            <w:r>
              <w:rPr>
                <w:b/>
              </w:rPr>
              <w:t>Standort der Verarbeitung</w:t>
            </w:r>
          </w:p>
        </w:tc>
      </w:tr>
      <w:tr>
        <w:tc>
          <w:tcPr>
            <w:tcW w:type="dxa" w:w="2493"/>
          </w:tcPr>
          <w:p>
            <w:r/>
            <w:r>
              <w:rPr>
                <w:b w:val="0"/>
              </w:rPr>
              <w:t>Hetzner Online GmbH</w:t>
            </w:r>
          </w:p>
        </w:tc>
        <w:tc>
          <w:tcPr>
            <w:tcW w:type="dxa" w:w="2493"/>
          </w:tcPr>
          <w:p>
            <w:r/>
            <w:r>
              <w:rPr>
                <w:b w:val="0"/>
              </w:rPr>
              <w:t>Industriestr. 25, 91710 Gunzenhausen</w:t>
            </w:r>
          </w:p>
        </w:tc>
        <w:tc>
          <w:tcPr>
            <w:tcW w:type="dxa" w:w="2493"/>
          </w:tcPr>
          <w:p>
            <w:r/>
            <w:r>
              <w:rPr>
                <w:b w:val="0"/>
              </w:rPr>
              <w:t>Server-Hosting für MindooDB Cloud in den Rechenzentren Falkenstein und Nürnberg</w:t>
            </w:r>
          </w:p>
        </w:tc>
        <w:tc>
          <w:tcPr>
            <w:tcW w:type="dxa" w:w="2493"/>
          </w:tcPr>
          <w:p>
            <w:r/>
            <w:r>
              <w:rPr>
                <w:b w:val="0"/>
              </w:rPr>
              <w:t>Deutschland</w:t>
            </w:r>
          </w:p>
        </w:tc>
      </w:tr>
      <w:tr>
        <w:tc>
          <w:tcPr>
            <w:tcW w:type="dxa" w:w="2493"/>
          </w:tcPr>
          <w:p>
            <w:r/>
            <w:r>
              <w:rPr>
                <w:b w:val="0"/>
              </w:rPr>
              <w:t>Cygnus Networks GmbH</w:t>
            </w:r>
          </w:p>
        </w:tc>
        <w:tc>
          <w:tcPr>
            <w:tcW w:type="dxa" w:w="2493"/>
          </w:tcPr>
          <w:p>
            <w:r/>
            <w:r>
              <w:rPr>
                <w:b w:val="0"/>
              </w:rPr>
              <w:t>Roonstraße 23a, 76137 Karlsruhe</w:t>
            </w:r>
          </w:p>
        </w:tc>
        <w:tc>
          <w:tcPr>
            <w:tcW w:type="dxa" w:w="2493"/>
          </w:tcPr>
          <w:p>
            <w:r/>
            <w:r>
              <w:rPr>
                <w:b w:val="0"/>
              </w:rPr>
              <w:t>Administration der Server</w:t>
            </w:r>
          </w:p>
        </w:tc>
        <w:tc>
          <w:tcPr>
            <w:tcW w:type="dxa" w:w="2493"/>
          </w:tcPr>
          <w:p>
            <w:r/>
            <w:r>
              <w:rPr>
                <w:b w:val="0"/>
              </w:rPr>
              <w:t>Deutschland</w:t>
            </w:r>
          </w:p>
        </w:tc>
      </w:tr>
      <w:tr>
        <w:tc>
          <w:tcPr>
            <w:tcW w:type="dxa" w:w="2493"/>
          </w:tcPr>
          <w:p>
            <w:r/>
            <w:r>
              <w:rPr>
                <w:b w:val="0"/>
              </w:rPr>
              <w:t>Cloudflare, Inc.</w:t>
            </w:r>
          </w:p>
        </w:tc>
        <w:tc>
          <w:tcPr>
            <w:tcW w:type="dxa" w:w="2493"/>
          </w:tcPr>
          <w:p>
            <w:r/>
            <w:r>
              <w:rPr>
                <w:b w:val="0"/>
              </w:rPr>
              <w:t>101 Townsend St, San Francisco, CA 94107, USA</w:t>
            </w:r>
          </w:p>
        </w:tc>
        <w:tc>
          <w:tcPr>
            <w:tcW w:type="dxa" w:w="2493"/>
          </w:tcPr>
          <w:p>
            <w:r/>
            <w:r>
              <w:rPr>
                <w:b w:val="0"/>
              </w:rPr>
              <w:t>DNS und Proxy vor den Servern (TLS-Terminierung, Schutz vor Angriffen)</w:t>
            </w:r>
          </w:p>
        </w:tc>
        <w:tc>
          <w:tcPr>
            <w:tcW w:type="dxa" w:w="2493"/>
          </w:tcPr>
          <w:p>
            <w:r/>
            <w:r>
              <w:rPr>
                <w:b w:val="0"/>
              </w:rPr>
              <w:t>Weltweites Netz, auch USA; Absicherung durch EU-US Data Privacy Framework und Standardvertragsklauseln</w:t>
            </w:r>
          </w:p>
        </w:tc>
      </w:tr>
    </w:tbl>
    <w:p>
      <w:r>
        <w:rPr>
          <w:b w:val="0"/>
        </w:rPr>
        <w:t>Cloudflare leitet den Datenverkehr zu den Servern weiter. Weil die Inhalte bereits auf dem Gerät verschlüsselt werden, sieht Cloudflare nur verschlüsselte Daten sowie Verbindungsdaten wie IP-Adressen.</w:t>
      </w:r>
    </w:p>
    <w:p>
      <w:r>
        <w:rPr>
          <w:b w:val="0"/>
        </w:rPr>
        <w:t>Mit allen drei Unternehmen besteht ein Auftragsverarbeitungsvertrag; bei Cloudflare ist er Teil der Nutzungsbedingungen. Hetzner ist für seine Rechenzentren nach ISO/IEC 27001:2022 zertifiziert (https://www.hetzner.com/unternehmen/zertifizierung/).</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